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417"/>
        <w:gridCol w:w="3685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许昌月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479550" cy="1479550"/>
                  <wp:effectExtent l="0" t="0" r="6350" b="6350"/>
                  <wp:docPr id="1" name="图片 1" descr="证件照最终版本【原尺寸】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证件照最终版本【原尺寸】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47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河南大学法学学士，执业近5年，已办理数百起民商事诉讼案件。专业领域：合同纠纷、侵权纠纷、劳动纠纷、婚姻家事纠纷、公司法律事务等各类民商事纠纷争议解决与服务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43B6A5A"/>
    <w:rsid w:val="26322F31"/>
    <w:rsid w:val="2DEB303B"/>
    <w:rsid w:val="315D6A5E"/>
    <w:rsid w:val="3FF90D5A"/>
    <w:rsid w:val="5FEB1DF3"/>
    <w:rsid w:val="61417FFF"/>
    <w:rsid w:val="662B6C48"/>
    <w:rsid w:val="67BCF696"/>
    <w:rsid w:val="75625E25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308</Words>
  <Characters>316</Characters>
  <Lines>0</Lines>
  <Paragraphs>0</Paragraphs>
  <TotalTime>21</TotalTime>
  <ScaleCrop>false</ScaleCrop>
  <LinksUpToDate>false</LinksUpToDate>
  <CharactersWithSpaces>322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许律师</cp:lastModifiedBy>
  <dcterms:modified xsi:type="dcterms:W3CDTF">2026-05-13T07:41:30Z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2016C094DC1E40A89FE032A61560E0B7_13</vt:lpwstr>
  </property>
  <property fmtid="{D5CDD505-2E9C-101B-9397-08002B2CF9AE}" pid="5" name="KSOTemplateDocerSaveRecord">
    <vt:lpwstr>eyJoZGlkIjoiYjIyZjkxNmE0NzEzNGFiZmY5YWIyMDdhNTJmZjM1YTkiLCJ1c2VySWQiOiIzMDQ3NTUzNjIifQ==</vt:lpwstr>
  </property>
</Properties>
</file>