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4365"/>
        <w:gridCol w:w="216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姜丹桔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1C0C673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22860</wp:posOffset>
                  </wp:positionV>
                  <wp:extent cx="1362710" cy="1830070"/>
                  <wp:effectExtent l="0" t="0" r="8890" b="17780"/>
                  <wp:wrapNone/>
                  <wp:docPr id="4" name="图片 4" descr="abeaa3e3a9abbd0d7b647fc45d4560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beaa3e3a9abbd0d7b647fc45d4560f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4EDEE54F">
            <w:pPr>
              <w:ind w:firstLine="482" w:firstLineChars="20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山东大学毕业，执业律师、专利代理师。长期深耕劳动法与知识产权法领域，拥有扎实的法学理论功底与丰富的一线办案经验。擅长处理各类劳动争议纠纷、企业劳动用工合规管理，同时专精专利申请辅助、知识产权侵权纠纷、商业权益保护等法律事务。依托双资质复合优势，可衔接技术法律与民商事合规业务，为个人及企业提供一体化、专业化法律解决方案，办案秉持审慎严谨原则，精准把控案件要点，全力保障客户合法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5FEB1DF3"/>
    <w:rsid w:val="61417FFF"/>
    <w:rsid w:val="61502B39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308</Words>
  <Characters>316</Characters>
  <Lines>0</Lines>
  <Paragraphs>0</Paragraphs>
  <TotalTime>32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Jessica</cp:lastModifiedBy>
  <dcterms:modified xsi:type="dcterms:W3CDTF">2026-05-13T06:20:48Z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E78EF3960E5A4002BBD5657D44AEAAFD_13</vt:lpwstr>
  </property>
  <property fmtid="{D5CDD505-2E9C-101B-9397-08002B2CF9AE}" pid="5" name="KSOTemplateDocerSaveRecord">
    <vt:lpwstr>eyJoZGlkIjoiNjk2NzY0YWQ4NTgwMTRlMzkzODljNjRjNTYxNWVmOTAiLCJ1c2VySWQiOiIxNzE4MjM0NjAyIn0=</vt:lpwstr>
  </property>
</Properties>
</file>