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4531"/>
        <w:gridCol w:w="2083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979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759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李健健</w:t>
            </w:r>
          </w:p>
        </w:tc>
        <w:tc>
          <w:tcPr>
            <w:tcW w:w="2224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93345</wp:posOffset>
                  </wp:positionV>
                  <wp:extent cx="1471930" cy="1471930"/>
                  <wp:effectExtent l="0" t="0" r="6350" b="6350"/>
                  <wp:wrapSquare wrapText="bothSides"/>
                  <wp:docPr id="2" name="图片 2" descr="拉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拉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979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759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979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4759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中央司法警官学院 本科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979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6983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具备法律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行业</w:t>
            </w:r>
            <w:r>
              <w:rPr>
                <w:rFonts w:ascii="宋体" w:hAnsi="宋体" w:eastAsia="宋体" w:cs="宋体"/>
                <w:sz w:val="24"/>
                <w:szCs w:val="24"/>
              </w:rPr>
              <w:t>与人力资源从业经验，熟知企业用工及商事运营实操逻辑。专注民事、公司商事、劳动法律业务，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擅长结合企业经营实际拆解法律问题，以务实的思路为客户提供专业法律支持，注重法律分析与实操落地的结合，助力纠纷高效解决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979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983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54C3C0E"/>
    <w:rsid w:val="1F825735"/>
    <w:rsid w:val="26322F31"/>
    <w:rsid w:val="2B5A5C67"/>
    <w:rsid w:val="2DEB303B"/>
    <w:rsid w:val="315D6A5E"/>
    <w:rsid w:val="3FF90D5A"/>
    <w:rsid w:val="61417FFF"/>
    <w:rsid w:val="662B6C48"/>
    <w:rsid w:val="67BCF696"/>
    <w:rsid w:val="6B1B1E63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353</Words>
  <Characters>361</Characters>
  <Lines>0</Lines>
  <Paragraphs>0</Paragraphs>
  <TotalTime>0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2026-03-12T01:00:00Z</dcterms:created>
  <dc:creator>Dwwer</dc:creator>
  <cp:lastModifiedBy>Dwwer</cp:lastModifiedBy>
  <dcterms:modified xsi:type="dcterms:W3CDTF">2026-03-20T02:41:27Z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D82158E54881407EB2641F4DA3E82340_13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