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610"/>
        <w:gridCol w:w="295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王吟秋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3150" cy="1609090"/>
                  <wp:effectExtent l="0" t="0" r="12700" b="10160"/>
                  <wp:docPr id="1" name="图片 1" descr="王吟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吟秋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南京大学法学本科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39382D81">
            <w:pPr>
              <w:jc w:val="both"/>
              <w:rPr>
                <w:rFonts w:hint="eastAsia"/>
              </w:rPr>
            </w:pPr>
          </w:p>
          <w:p w14:paraId="4EDEE54F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</w:rPr>
              <w:t>本人执业多年，具备扎实的法律理论功底与丰富的实务经验，专注于民商事诉讼、劳动争议、合同纠纷、法律顾问等领域。办案严谨细致，逻辑清晰，善于从复杂案件中梳理核心争议点，为客户提供务实、高效的法律解决方案。始终秉持诚信、专业、尽责的执业理念，以维护当事人合法权益为己任，用心办好每一起案件，力求实现法律效果与社会效果的统</w:t>
            </w:r>
            <w:r>
              <w:rPr>
                <w:rFonts w:hint="default"/>
              </w:rPr>
              <w:t>一。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6342A2E">
            <w:pPr>
              <w:jc w:val="both"/>
              <w:rPr>
                <w:rFonts w:hint="eastAsia"/>
              </w:rPr>
            </w:pPr>
          </w:p>
          <w:p w14:paraId="5A753EF8">
            <w:pPr>
              <w:jc w:val="center"/>
              <w:rPr>
                <w:rFonts w:hint="eastAsia"/>
              </w:rPr>
            </w:pPr>
          </w:p>
          <w:p w14:paraId="70DB29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担任苏州市高新区律协青年律师与女律师委员会副主任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</w:rPr>
              <w:t>苏州政纬律师事务所婚姻家庭与财富传承业务部副主任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1E26D36"/>
    <w:rsid w:val="26322F31"/>
    <w:rsid w:val="2DEB303B"/>
    <w:rsid w:val="315D6A5E"/>
    <w:rsid w:val="39DF13A9"/>
    <w:rsid w:val="3FF90D5A"/>
    <w:rsid w:val="459C16B1"/>
    <w:rsid w:val="61417FFF"/>
    <w:rsid w:val="662B6C48"/>
    <w:rsid w:val="67BCF696"/>
    <w:rsid w:val="785C0E7E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487</Words>
  <Characters>499</Characters>
  <Lines>0</Lines>
  <Paragraphs>0</Paragraphs>
  <TotalTime>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2026-03-25T06:37:19Z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