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850"/>
        <w:gridCol w:w="2737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394" w:type="dxa"/>
            <w:vAlign w:val="center"/>
          </w:tcPr>
          <w:p w14:paraId="2645F14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6786" w:type="dxa"/>
            <w:vAlign w:val="center"/>
          </w:tcPr>
          <w:p w14:paraId="6084A457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1C0C6736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drawing>
                <wp:inline distT="0" distB="0" distL="0" distR="0">
                  <wp:extent cx="1085215" cy="1520825"/>
                  <wp:effectExtent l="0" t="0" r="0" b="317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59" cy="153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394" w:type="dxa"/>
            <w:vAlign w:val="center"/>
          </w:tcPr>
          <w:p w14:paraId="2F2D430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6786" w:type="dxa"/>
            <w:vAlign w:val="center"/>
          </w:tcPr>
          <w:p w14:paraId="17AFC69A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yellow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yellow"/>
              </w:rPr>
              <w:t>律师</w:t>
            </w:r>
          </w:p>
          <w:p w14:paraId="059396C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782" w:type="dxa"/>
            <w:vMerge w:val="continue"/>
            <w:vAlign w:val="center"/>
          </w:tcPr>
          <w:p w14:paraId="2D82F06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394" w:type="dxa"/>
            <w:vAlign w:val="center"/>
          </w:tcPr>
          <w:p w14:paraId="0F425B0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6786" w:type="dxa"/>
            <w:vAlign w:val="center"/>
          </w:tcPr>
          <w:p w14:paraId="6A590D6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硕士研究生</w:t>
            </w:r>
          </w:p>
        </w:tc>
        <w:tc>
          <w:tcPr>
            <w:tcW w:w="782" w:type="dxa"/>
            <w:vMerge w:val="continue"/>
            <w:vAlign w:val="center"/>
          </w:tcPr>
          <w:p w14:paraId="3F7F423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yellow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yellow"/>
                <w:shd w:val="clear" w:color="auto" w:fill="FEFEFE"/>
              </w:rPr>
              <w:t>公司法律业务部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yellow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yellow"/>
                <w:shd w:val="clear" w:color="auto" w:fill="FEFEFE"/>
              </w:rPr>
              <w:t>建筑与房地产法律业务部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知识产权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刑事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涉外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婚姻家事与财富传承法律业务部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公益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人力资源与劳动法律业务部/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合规与监管业务部/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具身智能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数字经济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政纬研究院/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yellow"/>
                <w:shd w:val="clear" w:color="auto" w:fill="FEFEFE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yellow"/>
                <w:shd w:val="clear" w:color="auto" w:fill="FEFEFE"/>
              </w:rPr>
              <w:t>金融证券业务部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394" w:type="dxa"/>
            <w:vAlign w:val="center"/>
          </w:tcPr>
          <w:p w14:paraId="4065D97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568" w:type="dxa"/>
            <w:gridSpan w:val="2"/>
            <w:vAlign w:val="center"/>
          </w:tcPr>
          <w:p w14:paraId="24E3234F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复旦大学法律硕士，专注于公司、建设工程及金融证券领域。</w:t>
            </w:r>
          </w:p>
          <w:p w14:paraId="38CE5ABA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5F7B60EB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擅长为企业提供全生命周期法律服务，包括股权架构设计、公司治理、合规管理、投资并购及商事争议解决，致力于为客户防范经营风险，护航企业稳健发展。</w:t>
            </w:r>
          </w:p>
          <w:p w14:paraId="1B41FEED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4DDD7E9F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深耕于工程项目的全过程法律服务，业务涵盖项目招投标、合同审查、施工管理、工程索赔及各类建设工程合同纠纷的诉讼与仲裁。</w:t>
            </w:r>
          </w:p>
          <w:p w14:paraId="454F8043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4EDEE54F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秉持专业、务实、高效的理念，力求以深厚的法律功底与丰富的实战经验，为客户提供切实可行的解决方案。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394" w:type="dxa"/>
            <w:vAlign w:val="center"/>
          </w:tcPr>
          <w:p w14:paraId="63E8704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568" w:type="dxa"/>
            <w:gridSpan w:val="2"/>
            <w:vAlign w:val="center"/>
          </w:tcPr>
          <w:p w14:paraId="7FA0DF2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/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002EDA"/>
    <w:rsid w:val="00065B5E"/>
    <w:rsid w:val="00270073"/>
    <w:rsid w:val="00570B4C"/>
    <w:rsid w:val="00642C10"/>
    <w:rsid w:val="0096066F"/>
    <w:rsid w:val="009E2175"/>
    <w:rsid w:val="009F54A5"/>
    <w:rsid w:val="00A73252"/>
    <w:rsid w:val="00B027C8"/>
    <w:rsid w:val="00B151B0"/>
    <w:rsid w:val="26322F31"/>
    <w:rsid w:val="2DEB303B"/>
    <w:rsid w:val="315D6A5E"/>
    <w:rsid w:val="3FF90D5A"/>
    <w:rsid w:val="41C80E87"/>
    <w:rsid w:val="508000B5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490</Characters>
  <Lines>22</Lines>
  <Paragraphs>24</Paragraphs>
  <TotalTime>7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2026-03-25T06:16:02Z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